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2E" w:rsidRPr="0036612E" w:rsidRDefault="0036612E">
      <w:pPr>
        <w:spacing w:after="0" w:line="240" w:lineRule="auto"/>
        <w:ind w:left="120" w:right="120"/>
        <w:jc w:val="center"/>
        <w:rPr>
          <w:b/>
          <w:sz w:val="28"/>
          <w:szCs w:val="28"/>
        </w:rPr>
      </w:pPr>
      <w:r w:rsidRPr="0036612E">
        <w:rPr>
          <w:b/>
          <w:sz w:val="28"/>
          <w:szCs w:val="28"/>
        </w:rPr>
        <w:t xml:space="preserve">ANEXO 6 </w:t>
      </w:r>
    </w:p>
    <w:p w:rsidR="000F6DC1" w:rsidRPr="0036612E" w:rsidRDefault="002733CF">
      <w:pPr>
        <w:spacing w:after="0" w:line="240" w:lineRule="auto"/>
        <w:ind w:left="120" w:right="120"/>
        <w:jc w:val="center"/>
        <w:rPr>
          <w:b/>
          <w:sz w:val="28"/>
          <w:szCs w:val="28"/>
        </w:rPr>
      </w:pPr>
      <w:r w:rsidRPr="0036612E">
        <w:rPr>
          <w:b/>
          <w:sz w:val="28"/>
          <w:szCs w:val="28"/>
        </w:rPr>
        <w:t>MODELO DE PLANILHA ORÇAMENTÁRIA</w:t>
      </w:r>
    </w:p>
    <w:p w:rsidR="000F6DC1" w:rsidRDefault="000F6DC1">
      <w:pPr>
        <w:spacing w:after="0" w:line="240" w:lineRule="auto"/>
        <w:ind w:left="120" w:right="120"/>
        <w:jc w:val="center"/>
        <w:rPr>
          <w:b/>
        </w:rPr>
      </w:pPr>
    </w:p>
    <w:p w:rsidR="000F6DC1" w:rsidRDefault="002733CF">
      <w:pPr>
        <w:spacing w:before="120" w:after="200" w:line="276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O agente cultural deve preencher a planilha orçamentária indicando os custos do projeto, por categoria, acompanhado dos valores condizentes com as práticas de mercado. O agente cultural pode informar qual a referência de preço utilizada, de acordo com as c</w:t>
      </w:r>
      <w:r>
        <w:rPr>
          <w:sz w:val="24"/>
          <w:szCs w:val="24"/>
        </w:rPr>
        <w:t>aracterísticas e realidades do projeto.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Atenção!</w:t>
      </w:r>
      <w:r>
        <w:rPr>
          <w:sz w:val="24"/>
          <w:szCs w:val="24"/>
        </w:rPr>
        <w:t xml:space="preserve"> O projeto poderá apresentar valores divergentes das práticas de mercado convencionais na hipótese de haver significativa excepcionalidade no contexto de sua implementação, consideradas variáveis territoriais</w:t>
      </w:r>
      <w:r>
        <w:rPr>
          <w:sz w:val="24"/>
          <w:szCs w:val="24"/>
        </w:rPr>
        <w:t xml:space="preserve"> e geográficas e situações específicas, como a de povos indígenas, ribeirinhos, atingidos por barragens e comunidades quilombolas e tradicionais.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Atenção!</w:t>
      </w:r>
      <w:r>
        <w:rPr>
          <w:sz w:val="24"/>
          <w:szCs w:val="24"/>
        </w:rPr>
        <w:t xml:space="preserve"> Em caso de cobrança de ingresso ou venda de produtos, os recursos provenientes deverão ser revertidos</w:t>
      </w:r>
      <w:r>
        <w:rPr>
          <w:sz w:val="24"/>
          <w:szCs w:val="24"/>
        </w:rPr>
        <w:t xml:space="preserve"> ao próprio projeto, devendo ser apresentada na planilha orçamentária a previsão de arrecadação, juntamente com a relação de quais itens serão custeados com esse recurso.</w:t>
      </w: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2733CF">
      <w:pPr>
        <w:spacing w:before="120" w:after="120" w:line="240" w:lineRule="auto"/>
        <w:ind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Análise da planilha orçamentária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Os membros da comissão de seleção vão avaliar se os</w:t>
      </w:r>
      <w:r>
        <w:rPr>
          <w:sz w:val="24"/>
          <w:szCs w:val="24"/>
        </w:rPr>
        <w:t xml:space="preserve"> valores informados pelo agente cultural são compatíveis com os preços praticados no mercado.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Os membros da comissão de seleção podem realizar a análise comparando os valores apresentados pelo agente cultural com tabelas referenciais de valores, ou com out</w:t>
      </w:r>
      <w:r>
        <w:rPr>
          <w:sz w:val="24"/>
          <w:szCs w:val="24"/>
        </w:rPr>
        <w:t>ros métodos de verificação.</w:t>
      </w:r>
    </w:p>
    <w:p w:rsidR="000F6DC1" w:rsidRDefault="000F6DC1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0F6DC1" w:rsidRDefault="002733CF">
      <w:pPr>
        <w:spacing w:before="120" w:after="120" w:line="240" w:lineRule="auto"/>
        <w:ind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Valores incompatíveis com o mercado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itens da planilha orçamentária poderão ser glosados, ou seja, vetados, total ou parcialmente, pela Comissão de Seleção, se, após análise, não forem considerados com preços compatíveis aos </w:t>
      </w:r>
      <w:r>
        <w:rPr>
          <w:sz w:val="24"/>
          <w:szCs w:val="24"/>
        </w:rPr>
        <w:t>praticados no mercado ou forem considerados incoerentes e em desconformidade com o projeto apresentado.</w:t>
      </w:r>
    </w:p>
    <w:p w:rsidR="000F6DC1" w:rsidRDefault="002733CF">
      <w:pPr>
        <w:spacing w:before="120" w:after="120" w:line="240" w:lineRule="auto"/>
        <w:ind w:right="120"/>
        <w:jc w:val="both"/>
        <w:rPr>
          <w:sz w:val="24"/>
          <w:szCs w:val="24"/>
        </w:rPr>
      </w:pPr>
      <w:r>
        <w:rPr>
          <w:sz w:val="24"/>
          <w:szCs w:val="24"/>
        </w:rPr>
        <w:t>Caso o agente cultural discorde dos valores glosados (vetados) poderá apresentar recurso da etapa de seleção, conforme dispõe o item 8.10.</w:t>
      </w: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before="120" w:after="120" w:line="240" w:lineRule="auto"/>
        <w:ind w:right="120"/>
        <w:jc w:val="both"/>
        <w:rPr>
          <w:sz w:val="24"/>
          <w:szCs w:val="24"/>
        </w:rPr>
      </w:pPr>
    </w:p>
    <w:p w:rsidR="000F6DC1" w:rsidRDefault="000F6DC1">
      <w:pPr>
        <w:spacing w:after="0" w:line="240" w:lineRule="auto"/>
        <w:ind w:left="120" w:right="120"/>
        <w:rPr>
          <w:b/>
        </w:rPr>
      </w:pPr>
    </w:p>
    <w:p w:rsidR="000F6DC1" w:rsidRDefault="000F6DC1">
      <w:pPr>
        <w:spacing w:after="0" w:line="240" w:lineRule="auto"/>
        <w:ind w:left="120" w:right="120"/>
        <w:jc w:val="center"/>
        <w:rPr>
          <w:b/>
        </w:rPr>
      </w:pPr>
    </w:p>
    <w:tbl>
      <w:tblPr>
        <w:tblStyle w:val="a5"/>
        <w:tblpPr w:leftFromText="180" w:rightFromText="180" w:topFromText="180" w:bottomFromText="180" w:vertAnchor="text" w:tblpX="219"/>
        <w:tblW w:w="77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3975"/>
        <w:gridCol w:w="780"/>
        <w:gridCol w:w="1110"/>
        <w:gridCol w:w="1110"/>
      </w:tblGrid>
      <w:tr w:rsidR="000F6DC1">
        <w:trPr>
          <w:trHeight w:val="360"/>
        </w:trPr>
        <w:tc>
          <w:tcPr>
            <w:tcW w:w="7740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Modelo de Planilha Orçamentária</w:t>
            </w:r>
          </w:p>
        </w:tc>
      </w:tr>
      <w:tr w:rsidR="000F6DC1">
        <w:trPr>
          <w:trHeight w:val="360"/>
        </w:trPr>
        <w:tc>
          <w:tcPr>
            <w:tcW w:w="474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Nome do projeto:</w:t>
            </w:r>
          </w:p>
        </w:tc>
        <w:tc>
          <w:tcPr>
            <w:tcW w:w="300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DC1">
        <w:trPr>
          <w:trHeight w:val="360"/>
        </w:trPr>
        <w:tc>
          <w:tcPr>
            <w:tcW w:w="4740" w:type="dxa"/>
            <w:gridSpan w:val="2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Nome do proponente:</w:t>
            </w:r>
          </w:p>
        </w:tc>
        <w:tc>
          <w:tcPr>
            <w:tcW w:w="3000" w:type="dxa"/>
            <w:gridSpan w:val="3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F6DC1">
        <w:trPr>
          <w:trHeight w:val="64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Item de despesa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Quant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Valor Unitário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Valor total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(inserir linhas quantas forem necessárias)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R$ 0,00</w:t>
            </w:r>
          </w:p>
        </w:tc>
      </w:tr>
      <w:tr w:rsidR="000F6DC1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Coordenação de produção (1 profissional)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540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músicos/ instrumentistas (3 profissionais)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R$ 3,00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Locação de equipamento de som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Transporte terrestre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assessoria de imprensa e social mídia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Impressão de cartazes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20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R$ 20,00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Despesas bancárias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Produtor administrativo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Ex. Assessoria contábil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R$ 1,00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R$ 0,00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R$ 0,00</w:t>
            </w:r>
          </w:p>
        </w:tc>
      </w:tr>
      <w:tr w:rsidR="000F6DC1">
        <w:trPr>
          <w:trHeight w:val="315"/>
        </w:trPr>
        <w:tc>
          <w:tcPr>
            <w:tcW w:w="76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GERAL</w:t>
            </w:r>
          </w:p>
        </w:tc>
        <w:tc>
          <w:tcPr>
            <w:tcW w:w="78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0F6DC1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CCCCCC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F6DC1" w:rsidRDefault="002733CF">
            <w:pPr>
              <w:widowControl w:val="0"/>
              <w:spacing w:after="0" w:line="276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R$ 30,00</w:t>
            </w:r>
          </w:p>
        </w:tc>
      </w:tr>
    </w:tbl>
    <w:p w:rsidR="000F6DC1" w:rsidRDefault="000F6DC1">
      <w:pPr>
        <w:widowControl w:val="0"/>
        <w:spacing w:after="0" w:line="276" w:lineRule="auto"/>
        <w:rPr>
          <w:rFonts w:ascii="Arial" w:eastAsia="Arial" w:hAnsi="Arial" w:cs="Arial"/>
          <w:i/>
          <w:sz w:val="20"/>
          <w:szCs w:val="20"/>
        </w:rPr>
      </w:pPr>
      <w:bookmarkStart w:id="0" w:name="_heading=h.itojl31rx8d7" w:colFirst="0" w:colLast="0"/>
      <w:bookmarkStart w:id="1" w:name="_heading=h.17qcvfbxq613" w:colFirst="0" w:colLast="0"/>
      <w:bookmarkStart w:id="2" w:name="_heading=h.r2galxmajx2o" w:colFirst="0" w:colLast="0"/>
      <w:bookmarkStart w:id="3" w:name="_heading=h.3o3kup7196vp" w:colFirst="0" w:colLast="0"/>
      <w:bookmarkStart w:id="4" w:name="_heading=h.izobk8bh9wbf" w:colFirst="0" w:colLast="0"/>
      <w:bookmarkStart w:id="5" w:name="_heading=h.rbww1j23ikay" w:colFirst="0" w:colLast="0"/>
      <w:bookmarkStart w:id="6" w:name="_heading=h.51fcuetlcs6e" w:colFirst="0" w:colLast="0"/>
      <w:bookmarkStart w:id="7" w:name="_heading=h.dau0lijkb8b0" w:colFirst="0" w:colLast="0"/>
      <w:bookmarkStart w:id="8" w:name="_heading=h.vgfo60o3fakg" w:colFirst="0" w:colLast="0"/>
      <w:bookmarkStart w:id="9" w:name="_heading=h.6hv9zdbawa9f" w:colFirst="0" w:colLast="0"/>
      <w:bookmarkStart w:id="10" w:name="_heading=h.jtducgevvry" w:colFirst="0" w:colLast="0"/>
      <w:bookmarkStart w:id="11" w:name="_heading=h.f1gdo176g0vx" w:colFirst="0" w:colLast="0"/>
      <w:bookmarkStart w:id="12" w:name="_heading=h.lgfze5ijhfq4" w:colFirst="0" w:colLast="0"/>
      <w:bookmarkStart w:id="13" w:name="_heading=h.pjcc5reszx6v" w:colFirst="0" w:colLast="0"/>
      <w:bookmarkStart w:id="14" w:name="_heading=h.e63pukku2r3d" w:colFirst="0" w:colLast="0"/>
      <w:bookmarkStart w:id="15" w:name="_heading=h.8ahgwzammhiy" w:colFirst="0" w:colLast="0"/>
      <w:bookmarkStart w:id="16" w:name="_heading=h.adslclil883r" w:colFirst="0" w:colLast="0"/>
      <w:bookmarkStart w:id="17" w:name="_heading=h.5zvsngqn1bgk" w:colFirst="0" w:colLast="0"/>
      <w:bookmarkStart w:id="18" w:name="_heading=h.psuy62kn8d30" w:colFirst="0" w:colLast="0"/>
      <w:bookmarkStart w:id="19" w:name="_heading=h.gqffctv9dh0z" w:colFirst="0" w:colLast="0"/>
      <w:bookmarkStart w:id="20" w:name="_heading=h.tjlbad41yxa8" w:colFirst="0" w:colLast="0"/>
      <w:bookmarkStart w:id="21" w:name="_heading=h.ct4x4ttbldfv" w:colFirst="0" w:colLast="0"/>
      <w:bookmarkStart w:id="22" w:name="_heading=h.n7cbgg9xvkjd" w:colFirst="0" w:colLast="0"/>
      <w:bookmarkStart w:id="23" w:name="_heading=h.xdg27s1mf3e8" w:colFirst="0" w:colLast="0"/>
      <w:bookmarkStart w:id="24" w:name="_heading=h.xy4b3669vpqn" w:colFirst="0" w:colLast="0"/>
      <w:bookmarkStart w:id="25" w:name="_heading=h.4zugut5q46kb" w:colFirst="0" w:colLast="0"/>
      <w:bookmarkStart w:id="26" w:name="_heading=h.3ycrw9cxo9iw" w:colFirst="0" w:colLast="0"/>
      <w:bookmarkStart w:id="27" w:name="_heading=h.s0gecgelsw1a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0F6DC1" w:rsidRDefault="002733CF" w:rsidP="009F67E3">
      <w:pPr>
        <w:widowControl w:val="0"/>
        <w:spacing w:after="0" w:line="276" w:lineRule="auto"/>
        <w:jc w:val="center"/>
        <w:rPr>
          <w:sz w:val="24"/>
          <w:szCs w:val="24"/>
        </w:rPr>
      </w:pPr>
      <w:bookmarkStart w:id="28" w:name="_heading=h.gjdgxs" w:colFirst="0" w:colLast="0"/>
      <w:bookmarkEnd w:id="28"/>
      <w:r>
        <w:rPr>
          <w:rFonts w:ascii="Arial" w:eastAsia="Arial" w:hAnsi="Arial" w:cs="Arial"/>
          <w:i/>
          <w:sz w:val="20"/>
          <w:szCs w:val="20"/>
        </w:rPr>
        <w:t>*o modelo sug</w:t>
      </w:r>
      <w:bookmarkStart w:id="29" w:name="_GoBack"/>
      <w:bookmarkEnd w:id="29"/>
      <w:r>
        <w:rPr>
          <w:rFonts w:ascii="Arial" w:eastAsia="Arial" w:hAnsi="Arial" w:cs="Arial"/>
          <w:i/>
          <w:sz w:val="20"/>
          <w:szCs w:val="20"/>
        </w:rPr>
        <w:t>erido pode ser adaptado conforme as necessidades do projeto</w:t>
      </w:r>
    </w:p>
    <w:sectPr w:rsidR="000F6DC1" w:rsidSect="0036612E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3CF" w:rsidRDefault="002733CF">
      <w:pPr>
        <w:spacing w:after="0" w:line="240" w:lineRule="auto"/>
      </w:pPr>
      <w:r>
        <w:separator/>
      </w:r>
    </w:p>
  </w:endnote>
  <w:endnote w:type="continuationSeparator" w:id="0">
    <w:p w:rsidR="002733CF" w:rsidRDefault="0027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C1" w:rsidRDefault="0036612E">
    <w:pPr>
      <w:tabs>
        <w:tab w:val="center" w:pos="4252"/>
        <w:tab w:val="right" w:pos="8504"/>
      </w:tabs>
      <w:spacing w:before="240" w:after="240" w:line="240" w:lineRule="auto"/>
      <w:rPr>
        <w:color w:val="FF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3743325</wp:posOffset>
          </wp:positionH>
          <wp:positionV relativeFrom="paragraph">
            <wp:posOffset>152400</wp:posOffset>
          </wp:positionV>
          <wp:extent cx="2258060" cy="746760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DE047E5" wp14:editId="6350E663">
          <wp:extent cx="1724025" cy="709930"/>
          <wp:effectExtent l="0" t="0" r="9525" b="0"/>
          <wp:docPr id="23" name="Image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6DC1" w:rsidRDefault="000F6D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3CF" w:rsidRDefault="002733CF">
      <w:pPr>
        <w:spacing w:after="0" w:line="240" w:lineRule="auto"/>
      </w:pPr>
      <w:r>
        <w:separator/>
      </w:r>
    </w:p>
  </w:footnote>
  <w:footnote w:type="continuationSeparator" w:id="0">
    <w:p w:rsidR="002733CF" w:rsidRDefault="0027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DC1" w:rsidRDefault="002733CF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-219073</wp:posOffset>
          </wp:positionH>
          <wp:positionV relativeFrom="paragraph">
            <wp:posOffset>-449577</wp:posOffset>
          </wp:positionV>
          <wp:extent cx="1600200" cy="922233"/>
          <wp:effectExtent l="0" t="0" r="0" b="0"/>
          <wp:wrapNone/>
          <wp:docPr id="2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C1"/>
    <w:rsid w:val="000F6DC1"/>
    <w:rsid w:val="002733CF"/>
    <w:rsid w:val="0036612E"/>
    <w:rsid w:val="009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F7AB"/>
  <w15:docId w15:val="{020083CD-F49D-47B1-A6F5-7F987240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6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12E"/>
  </w:style>
  <w:style w:type="paragraph" w:styleId="Rodap">
    <w:name w:val="footer"/>
    <w:basedOn w:val="Normal"/>
    <w:link w:val="RodapChar"/>
    <w:uiPriority w:val="99"/>
    <w:unhideWhenUsed/>
    <w:rsid w:val="00366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I99QREwSSPJfaspyUPo9K/f7w==">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Queiroz RF: 49.352 - SECTUR</cp:lastModifiedBy>
  <cp:revision>3</cp:revision>
  <dcterms:created xsi:type="dcterms:W3CDTF">2025-01-30T13:00:00Z</dcterms:created>
  <dcterms:modified xsi:type="dcterms:W3CDTF">2025-01-30T13:01:00Z</dcterms:modified>
</cp:coreProperties>
</file>